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FF973" w14:textId="77777777" w:rsidR="00237B36" w:rsidRPr="00237B36" w:rsidRDefault="00237B36" w:rsidP="00237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aps/>
          <w:color w:val="212529"/>
          <w:sz w:val="24"/>
          <w:szCs w:val="24"/>
          <w:lang w:val="ru-BY" w:eastAsia="ru-BY"/>
        </w:rPr>
        <w:t>РЕШЕНИЕ ЛЯХОВИЧСКОГО РАЙОННОГО ИСПОЛНИТЕЛЬНОГО КОМИТЕТА</w:t>
      </w:r>
    </w:p>
    <w:p w14:paraId="57D18692" w14:textId="77777777" w:rsidR="00237B36" w:rsidRPr="00237B36" w:rsidRDefault="00237B36" w:rsidP="00237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27 февраля 2024 г. № 216</w:t>
      </w:r>
    </w:p>
    <w:p w14:paraId="1C24680E" w14:textId="77777777" w:rsidR="00237B36" w:rsidRPr="00237B36" w:rsidRDefault="00237B36" w:rsidP="00237B36">
      <w:pPr>
        <w:shd w:val="clear" w:color="auto" w:fill="FFFFFF"/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color w:val="212529"/>
          <w:sz w:val="34"/>
          <w:szCs w:val="34"/>
          <w:lang w:val="ru-BY" w:eastAsia="ru-BY"/>
        </w:rPr>
      </w:pPr>
      <w:r w:rsidRPr="00237B36">
        <w:rPr>
          <w:rFonts w:ascii="Times New Roman" w:eastAsia="Times New Roman" w:hAnsi="Times New Roman" w:cs="Times New Roman"/>
          <w:b/>
          <w:bCs/>
          <w:color w:val="212529"/>
          <w:sz w:val="34"/>
          <w:szCs w:val="34"/>
          <w:lang w:val="ru-BY" w:eastAsia="ru-BY"/>
        </w:rPr>
        <w:t xml:space="preserve">Об изменении решения </w:t>
      </w:r>
      <w:proofErr w:type="spellStart"/>
      <w:r w:rsidRPr="00237B36">
        <w:rPr>
          <w:rFonts w:ascii="Times New Roman" w:eastAsia="Times New Roman" w:hAnsi="Times New Roman" w:cs="Times New Roman"/>
          <w:b/>
          <w:bCs/>
          <w:color w:val="212529"/>
          <w:sz w:val="34"/>
          <w:szCs w:val="34"/>
          <w:lang w:val="ru-BY" w:eastAsia="ru-BY"/>
        </w:rPr>
        <w:t>Ляховичского</w:t>
      </w:r>
      <w:proofErr w:type="spellEnd"/>
      <w:r w:rsidRPr="00237B36">
        <w:rPr>
          <w:rFonts w:ascii="Times New Roman" w:eastAsia="Times New Roman" w:hAnsi="Times New Roman" w:cs="Times New Roman"/>
          <w:b/>
          <w:bCs/>
          <w:color w:val="212529"/>
          <w:sz w:val="34"/>
          <w:szCs w:val="34"/>
          <w:lang w:val="ru-BY" w:eastAsia="ru-BY"/>
        </w:rPr>
        <w:t xml:space="preserve"> районного исполнительного комитета от 29 марта 2019 г. № 284</w:t>
      </w:r>
    </w:p>
    <w:p w14:paraId="3BB8B2D5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На основании части четвертой </w:t>
      </w:r>
      <w:hyperlink r:id="rId4" w:anchor="&amp;Point=4" w:history="1">
        <w:r w:rsidRPr="00237B36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BY" w:eastAsia="ru-BY"/>
          </w:rPr>
          <w:t>пункта 4</w:t>
        </w:r>
      </w:hyperlink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 xml:space="preserve"> Декрета Президента Республики Беларусь от 2 апреля 2015 г. № 3 «О содействии занятости населения» </w:t>
      </w:r>
      <w:proofErr w:type="spellStart"/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Ляховичский</w:t>
      </w:r>
      <w:proofErr w:type="spellEnd"/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 xml:space="preserve"> районный исполнительный комитет РЕШИЛ:</w:t>
      </w:r>
    </w:p>
    <w:p w14:paraId="37B175BD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1. Внести в </w:t>
      </w:r>
      <w:hyperlink r:id="rId5" w:anchor="%D0%97%D0%B0%D0%B3_%D0%A3%D1%82%D0%B2_1" w:history="1">
        <w:r w:rsidRPr="00237B36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BY" w:eastAsia="ru-BY"/>
          </w:rPr>
          <w:t>Положение</w:t>
        </w:r>
      </w:hyperlink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 xml:space="preserve"> о постоянно действующей комиссии по координации работы по содействию занятости населения, утвержденное решением </w:t>
      </w:r>
      <w:proofErr w:type="spellStart"/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Ляховичского</w:t>
      </w:r>
      <w:proofErr w:type="spellEnd"/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 xml:space="preserve"> районного исполнительного комитета от 29 марта 2019 г. № 284, следующие изменения:</w:t>
      </w:r>
    </w:p>
    <w:p w14:paraId="2DFE9DC4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в </w:t>
      </w:r>
      <w:hyperlink r:id="rId6" w:anchor="%D0%97%D0%B0%D0%B3_%D0%A3%D1%82%D0%B2_1&amp;Point=4" w:history="1">
        <w:r w:rsidRPr="00237B36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BY" w:eastAsia="ru-BY"/>
          </w:rPr>
          <w:t>пункте 4</w:t>
        </w:r>
      </w:hyperlink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:</w:t>
      </w:r>
    </w:p>
    <w:p w14:paraId="1BF73455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из абзаца первого слова «(далее – Декрет № 3)» исключить;</w:t>
      </w:r>
    </w:p>
    <w:p w14:paraId="759F6955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абзац пятый после слова «формирования» дополнить словами «в электронном виде»;</w:t>
      </w:r>
    </w:p>
    <w:p w14:paraId="7F98D484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в абзаце десятом слова «Декрета № 3» заменить словами «</w:t>
      </w:r>
      <w:hyperlink r:id="rId7" w:history="1">
        <w:r w:rsidRPr="00237B36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BY" w:eastAsia="ru-BY"/>
          </w:rPr>
          <w:t>Декрета Президента Республики Беларусь от 2 апреля 2015 г. № 3</w:t>
        </w:r>
      </w:hyperlink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»;</w:t>
      </w:r>
    </w:p>
    <w:p w14:paraId="251DC8DC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абзац седьмой </w:t>
      </w:r>
      <w:hyperlink r:id="rId8" w:anchor="%D0%97%D0%B0%D0%B3_%D0%A3%D1%82%D0%B2_1&amp;Point=5" w:history="1">
        <w:r w:rsidRPr="00237B36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BY" w:eastAsia="ru-BY"/>
          </w:rPr>
          <w:t>пункта 5</w:t>
        </w:r>
      </w:hyperlink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 исключить;</w:t>
      </w:r>
    </w:p>
    <w:p w14:paraId="02AF71F9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hyperlink r:id="rId9" w:anchor="%D0%97%D0%B0%D0%B3_%D0%A3%D1%82%D0%B2_1&amp;Point=6" w:history="1">
        <w:r w:rsidRPr="00237B36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BY" w:eastAsia="ru-BY"/>
          </w:rPr>
          <w:t>пункт 6</w:t>
        </w:r>
      </w:hyperlink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 изложить в следующей редакции:</w:t>
      </w:r>
    </w:p>
    <w:p w14:paraId="1FB40CF7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«6. В состав комиссии входят председатель комиссии, его заместитель, секретарь и иные члены комиссии.</w:t>
      </w:r>
    </w:p>
    <w:p w14:paraId="5962195A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Председатель комиссии, его заместитель и члены комиссии, за исключением секретаря комиссии, исполняют обязанности на общественных началах.</w:t>
      </w:r>
    </w:p>
    <w:p w14:paraId="23737653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Должность секретаря комиссии вводится в пределах установленной численности работников райисполкома. Оплата труда по указанной должности служащего осуществляется в порядке, установленном законодательством.»;</w:t>
      </w:r>
    </w:p>
    <w:p w14:paraId="1F8F25D2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hyperlink r:id="rId10" w:anchor="%D0%97%D0%B0%D0%B3_%D0%A3%D1%82%D0%B2_1&amp;Point=8" w:history="1">
        <w:r w:rsidRPr="00237B36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BY" w:eastAsia="ru-BY"/>
          </w:rPr>
          <w:t>пункт 8</w:t>
        </w:r>
      </w:hyperlink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 изложить в следующей редакции:</w:t>
      </w:r>
    </w:p>
    <w:p w14:paraId="51AAB0B2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«8. Секретарь комиссии:</w:t>
      </w:r>
    </w:p>
    <w:p w14:paraId="1C497A7A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осуществляет работу с базой данных;</w:t>
      </w:r>
    </w:p>
    <w:p w14:paraId="49EC5DAE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консультирует членов комиссии по работе с базой данных;</w:t>
      </w:r>
    </w:p>
    <w:p w14:paraId="0BD2C15E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проводит работу по формированию списка трудоспособных граждан, не занятых в экономике, оплачивающих услуги с возмещением затрат, и списка трудоспособных граждан, не занятых в экономике, выехавших за пределы Республики Беларусь, оплачивающих услуги с возмещением затрат;</w:t>
      </w:r>
    </w:p>
    <w:p w14:paraId="2F50EEDE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подготавливает проекты решений райисполкома об утверждении списка трудоспособных граждан, не занятых в экономике, оплачивающих услуги с возмещением затрат, и списка трудоспособных граждан, не занятых в экономике, выехавших за пределы Республики Беларусь, оплачивающих услуги с возмещением затрат;</w:t>
      </w:r>
    </w:p>
    <w:p w14:paraId="4EE88B92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выносит на рассмотрение комиссии заявления трудоспособных граждан, не занятых в экономике, или членов их семей о полном или частичном освобождении трудоспособных граждан, не занятых в экономике, от оплаты услуг с возмещением затрат в связи с нахождением в трудной жизненной ситуации и о признании таких граждан занятыми в экономике и не относящимися к не занятым в экономике;</w:t>
      </w:r>
    </w:p>
    <w:p w14:paraId="4A3F4079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подготавливает запросы о предоставлении информации по вопросам, относящимся к деятельности комиссии;</w:t>
      </w:r>
    </w:p>
    <w:p w14:paraId="77993307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обеспечивает отчетность по вопросам деятельности комиссии;</w:t>
      </w:r>
    </w:p>
    <w:p w14:paraId="4B4781E9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оказывает консультацию гражданам по вопросам реализации </w:t>
      </w:r>
      <w:hyperlink r:id="rId11" w:history="1">
        <w:r w:rsidRPr="00237B36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BY" w:eastAsia="ru-BY"/>
          </w:rPr>
          <w:t>Декрета Президента Республики Беларусь от 2 апреля 2015 г. № 3</w:t>
        </w:r>
      </w:hyperlink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;</w:t>
      </w:r>
    </w:p>
    <w:p w14:paraId="114FB6EB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осуществляет подготовку материалов для рассмотрения на заседании комиссии;</w:t>
      </w:r>
    </w:p>
    <w:p w14:paraId="3A28FEBB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осуществляет подготовку заседаний комиссии;</w:t>
      </w:r>
    </w:p>
    <w:p w14:paraId="51C12FF6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lastRenderedPageBreak/>
        <w:t>оформляет протоколы заседаний и решений комиссии;</w:t>
      </w:r>
    </w:p>
    <w:p w14:paraId="7B59DD03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ведет делопроизводство в комиссии;</w:t>
      </w:r>
    </w:p>
    <w:p w14:paraId="4180A477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осуществляет иные функции, возложенные на него председателем комиссии.</w:t>
      </w:r>
    </w:p>
    <w:p w14:paraId="7F32441D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В период отсутствия секретаря комиссии его обязанности выполняет член комиссии, определенный председателем комиссии.»;</w:t>
      </w:r>
    </w:p>
    <w:p w14:paraId="466C1966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hyperlink r:id="rId12" w:anchor="%D0%97%D0%B0%D0%B3_%D0%A3%D1%82%D0%B2_1&amp;Point=17" w:history="1">
        <w:r w:rsidRPr="00237B36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BY" w:eastAsia="ru-BY"/>
          </w:rPr>
          <w:t>пункты 17–18</w:t>
        </w:r>
        <w:r w:rsidRPr="00237B36">
          <w:rPr>
            <w:rFonts w:ascii="Times New Roman" w:eastAsia="Times New Roman" w:hAnsi="Times New Roman" w:cs="Times New Roman"/>
            <w:color w:val="000CFF"/>
            <w:sz w:val="18"/>
            <w:szCs w:val="18"/>
            <w:u w:val="single"/>
            <w:vertAlign w:val="superscript"/>
            <w:lang w:val="ru-BY" w:eastAsia="ru-BY"/>
          </w:rPr>
          <w:t>1</w:t>
        </w:r>
      </w:hyperlink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 изложить в следующей редакции:</w:t>
      </w:r>
    </w:p>
    <w:p w14:paraId="3C174A7A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«17. После получения доступа к базе данных комиссия ежемесячно формирует в электронном виде список трудоспособных граждан, не занятых в экономике, оплачивающих услуги с возмещением затрат, и организует работу с гражданами, сведения о которых содержатся в нем, в том числе рассматривает их заявления.</w:t>
      </w:r>
    </w:p>
    <w:p w14:paraId="6490FDCA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18. Сформированный в электронном виде список трудоспособных граждан, не занятых в экономике, оплачивающих услуги с возмещением затрат, ежемесячно:</w:t>
      </w:r>
    </w:p>
    <w:p w14:paraId="29651590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до 26-го числа подписывается в базе данных председателем комиссии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Беларусь;</w:t>
      </w:r>
    </w:p>
    <w:p w14:paraId="25F8ED5C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до конца текущего месяца утверждается решением райисполкома и подписывается в базе данных председателем райисполкома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14:paraId="59B6B72A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Информация о включении в список трудоспособных граждан, не занятых в экономике, оплачивающих услуги с возмещением затрат, доступна с 1-го числа месяца, следующего за месяцем утверждения списка трудоспособных граждан, не занятых в экономике, оплачивающих услуги с возмещением затрат, посредством соответствующей электронной услуги общегосударственной автоматизированной информационной системы.</w:t>
      </w:r>
    </w:p>
    <w:p w14:paraId="519DB0CE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Список трудоспособных граждан, не занятых в экономике, оплачивающих услуги с возмещением затрат, ежемесячно до 5-го числа месяца, следующего за месяцем утверждения, предоставляется посредством общегосударственной автоматизированной информационной системы открытому акционерному обществу «Небанковская кредитно-финансовая организация «Единое расчетное и информационное пространство» для обработки в единой общереспубликанской информационной системе по учету, расчету и начислению платы за жилищно-коммунальные услуги и платы за пользование жилым помещением (далее – АИС «Расчет-ЖКУ») с целью начисления платы за жилищно-коммунальные услуги и платы за пользование жилым помещением организациями, осуществляющими учет, расчет и начисление платы за жилищно-коммунальные услуги и платы за пользование жилым помещением.</w:t>
      </w:r>
    </w:p>
    <w:p w14:paraId="2994B3EA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18</w:t>
      </w:r>
      <w:r w:rsidRPr="00237B36">
        <w:rPr>
          <w:rFonts w:ascii="Times New Roman" w:eastAsia="Times New Roman" w:hAnsi="Times New Roman" w:cs="Times New Roman"/>
          <w:color w:val="212529"/>
          <w:sz w:val="18"/>
          <w:szCs w:val="18"/>
          <w:vertAlign w:val="superscript"/>
          <w:lang w:val="ru-BY" w:eastAsia="ru-BY"/>
        </w:rPr>
        <w:t>1</w:t>
      </w: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. Сформированный в электронном виде список трудоспособных граждан, не занятых в экономике, выехавших за пределы Республики Беларусь, оплачивающих услуги с возмещением затрат, ежемесячно:</w:t>
      </w:r>
    </w:p>
    <w:p w14:paraId="48C6F31F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до 7-го числа подписывается в базе данных председателем комиссии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Беларусь;</w:t>
      </w:r>
    </w:p>
    <w:p w14:paraId="1369C14F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до 9-го числа утверждается решением райисполкома и подписывается в базе данных председателем райисполкома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14:paraId="5B29AD65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lastRenderedPageBreak/>
        <w:t>Список трудоспособных граждан, не занятых в экономике, выехавших за пределы Республики Беларусь, оплачивающих услуги с возмещением затрат, ежемесячно до 9-го числа предоставляется посредством общегосударственной автоматизированной информационной системы открытому акционерному обществу «Небанковская кредитно-финансовая организация «Единое расчетное и информационное пространство» для обработки в АИС «Расчет-ЖКУ» в целях начисления платы за жилищно-коммунальные услуги и платы за пользование жилым помещением организациями, осуществляющими учет, расчет и начисление платы за жилищно-коммунальные услуги и платы за пользование жилым помещением.»;</w:t>
      </w:r>
    </w:p>
    <w:p w14:paraId="68EDD049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в </w:t>
      </w:r>
      <w:hyperlink r:id="rId13" w:anchor="%D0%97%D0%B0%D0%B3_%D0%A3%D1%82%D0%B2_1&amp;Point=18/2" w:history="1">
        <w:r w:rsidRPr="00237B36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BY" w:eastAsia="ru-BY"/>
          </w:rPr>
          <w:t>пункте 18</w:t>
        </w:r>
        <w:r w:rsidRPr="00237B36">
          <w:rPr>
            <w:rFonts w:ascii="Times New Roman" w:eastAsia="Times New Roman" w:hAnsi="Times New Roman" w:cs="Times New Roman"/>
            <w:color w:val="000CFF"/>
            <w:sz w:val="18"/>
            <w:szCs w:val="18"/>
            <w:u w:val="single"/>
            <w:vertAlign w:val="superscript"/>
            <w:lang w:val="ru-BY" w:eastAsia="ru-BY"/>
          </w:rPr>
          <w:t>2</w:t>
        </w:r>
      </w:hyperlink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:</w:t>
      </w:r>
    </w:p>
    <w:p w14:paraId="065C5D22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часть вторую после слова «формирования» дополнить словами «в электронном виде»;</w:t>
      </w:r>
    </w:p>
    <w:p w14:paraId="206DA850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части третью и четвертую изложить в следующей редакции:</w:t>
      </w:r>
    </w:p>
    <w:p w14:paraId="29DEB910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«Пересмотренные списки подписываются и утверждаются в месяце их формирования в порядке, установленном абзацами вторым и третьим части первой </w:t>
      </w:r>
      <w:hyperlink r:id="rId14" w:anchor="%D0%97%D0%B0%D0%B3_%D0%A3%D1%82%D0%B2_1&amp;Point=18" w:history="1">
        <w:r w:rsidRPr="00237B36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BY" w:eastAsia="ru-BY"/>
          </w:rPr>
          <w:t>пункта 18</w:t>
        </w:r>
      </w:hyperlink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 настоящего Положения.</w:t>
      </w:r>
    </w:p>
    <w:p w14:paraId="606E76E6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Утвержденные пересмотренные списки посредством общегосударственной автоматизированной информационной системы до 5-го числа месяца, следующего за месяцем их формирования, предоставляются открытому акционерному обществу «Небанковская кредитно-финансовая организация «Единое расчетное и информационное пространство» для обработки в АИС «Расчет-ЖКУ» в целях начисления платы за жилищно-коммунальные услуги и платы за пользование жилым помещением организациями, осуществляющими учет, расчет и начисление платы за жилищно-коммунальные услуги и платы за пользование жилым помещением.»;</w:t>
      </w:r>
    </w:p>
    <w:p w14:paraId="08D43877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дополнить </w:t>
      </w:r>
      <w:hyperlink r:id="rId15" w:anchor="%D0%97%D0%B0%D0%B3_%D0%A3%D1%82%D0%B2_1" w:history="1">
        <w:r w:rsidRPr="00237B36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BY" w:eastAsia="ru-BY"/>
          </w:rPr>
          <w:t>Положение</w:t>
        </w:r>
      </w:hyperlink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 пунктом 18</w:t>
      </w:r>
      <w:r w:rsidRPr="00237B36">
        <w:rPr>
          <w:rFonts w:ascii="Times New Roman" w:eastAsia="Times New Roman" w:hAnsi="Times New Roman" w:cs="Times New Roman"/>
          <w:color w:val="212529"/>
          <w:sz w:val="18"/>
          <w:szCs w:val="18"/>
          <w:vertAlign w:val="superscript"/>
          <w:lang w:val="ru-BY" w:eastAsia="ru-BY"/>
        </w:rPr>
        <w:t>3</w:t>
      </w: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 следующего содержания:</w:t>
      </w:r>
    </w:p>
    <w:p w14:paraId="5086D7B7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«18</w:t>
      </w:r>
      <w:r w:rsidRPr="00237B36">
        <w:rPr>
          <w:rFonts w:ascii="Times New Roman" w:eastAsia="Times New Roman" w:hAnsi="Times New Roman" w:cs="Times New Roman"/>
          <w:color w:val="212529"/>
          <w:sz w:val="18"/>
          <w:szCs w:val="18"/>
          <w:vertAlign w:val="superscript"/>
          <w:lang w:val="ru-BY" w:eastAsia="ru-BY"/>
        </w:rPr>
        <w:t>3</w:t>
      </w: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. Утвержденные списки хранятся в базе данных три года.»;</w:t>
      </w:r>
    </w:p>
    <w:p w14:paraId="600E60F1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hyperlink r:id="rId16" w:anchor="%D0%97%D0%B0%D0%B3_%D0%A3%D1%82%D0%B2_1&amp;Point=20" w:history="1">
        <w:r w:rsidRPr="00237B36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BY" w:eastAsia="ru-BY"/>
          </w:rPr>
          <w:t>пункт 20</w:t>
        </w:r>
      </w:hyperlink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 изложить в следующей редакции:</w:t>
      </w:r>
    </w:p>
    <w:p w14:paraId="22A9F91C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«20. По результатам работы комиссия информирует оператора базы данных о выявленных некорректных данных путем отражения информации в базе данных.».</w:t>
      </w:r>
    </w:p>
    <w:p w14:paraId="6DC66ECD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2. Настоящее решение вступает в силу в следующем порядке:</w:t>
      </w:r>
    </w:p>
    <w:p w14:paraId="7095A12F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абзацы четвертый, двадцать седьмой – тридцать первый, тридцать восьмой – сорок первый, сорок третий и сорок четвертый </w:t>
      </w:r>
      <w:hyperlink r:id="rId17" w:anchor="&amp;Point=1" w:history="1">
        <w:r w:rsidRPr="00237B36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BY" w:eastAsia="ru-BY"/>
          </w:rPr>
          <w:t>пункта 1</w:t>
        </w:r>
      </w:hyperlink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 – с 1 апреля 2024 г.;</w:t>
      </w:r>
    </w:p>
    <w:p w14:paraId="37558BE0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абзацы тридцать второй – тридцать седьмой, сорок второй </w:t>
      </w:r>
      <w:hyperlink r:id="rId18" w:anchor="&amp;Point=1" w:history="1">
        <w:r w:rsidRPr="00237B36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BY" w:eastAsia="ru-BY"/>
          </w:rPr>
          <w:t>пункта 1</w:t>
        </w:r>
      </w:hyperlink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 – с 1 мая 2024 г.;</w:t>
      </w:r>
    </w:p>
    <w:p w14:paraId="67E3D754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абзацы седьмой – двадцать шестой </w:t>
      </w:r>
      <w:hyperlink r:id="rId19" w:anchor="&amp;Point=1" w:history="1">
        <w:r w:rsidRPr="00237B36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BY" w:eastAsia="ru-BY"/>
          </w:rPr>
          <w:t>пункта 1</w:t>
        </w:r>
      </w:hyperlink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 – с 1 августа 2024 г.;</w:t>
      </w:r>
    </w:p>
    <w:p w14:paraId="2AC8B23E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иные положения настоящего решения – после его официального опубликования.</w:t>
      </w:r>
    </w:p>
    <w:p w14:paraId="706AD09C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 </w:t>
      </w:r>
    </w:p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  <w:gridCol w:w="7650"/>
      </w:tblGrid>
      <w:tr w:rsidR="00237B36" w:rsidRPr="00237B36" w14:paraId="4F145180" w14:textId="77777777" w:rsidTr="00237B36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D1D394" w14:textId="77777777" w:rsidR="00237B36" w:rsidRPr="00237B36" w:rsidRDefault="00237B36" w:rsidP="0023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BY" w:eastAsia="ru-BY"/>
              </w:rPr>
            </w:pPr>
            <w:r w:rsidRPr="00237B36">
              <w:rPr>
                <w:rFonts w:ascii="Times New Roman" w:eastAsia="Times New Roman" w:hAnsi="Times New Roman" w:cs="Times New Roman"/>
                <w:b/>
                <w:bCs/>
                <w:color w:val="212529"/>
                <w:sz w:val="26"/>
                <w:szCs w:val="26"/>
                <w:lang w:val="ru-BY" w:eastAsia="ru-BY"/>
              </w:rPr>
              <w:t>Председатель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AEA59D" w14:textId="77777777" w:rsidR="00237B36" w:rsidRPr="00237B36" w:rsidRDefault="00237B36" w:rsidP="0023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BY" w:eastAsia="ru-BY"/>
              </w:rPr>
            </w:pPr>
            <w:proofErr w:type="spellStart"/>
            <w:r w:rsidRPr="00237B36">
              <w:rPr>
                <w:rFonts w:ascii="Times New Roman" w:eastAsia="Times New Roman" w:hAnsi="Times New Roman" w:cs="Times New Roman"/>
                <w:b/>
                <w:bCs/>
                <w:color w:val="212529"/>
                <w:sz w:val="26"/>
                <w:szCs w:val="26"/>
                <w:lang w:val="ru-BY" w:eastAsia="ru-BY"/>
              </w:rPr>
              <w:t>Н.Н.Мороз</w:t>
            </w:r>
            <w:proofErr w:type="spellEnd"/>
          </w:p>
        </w:tc>
      </w:tr>
    </w:tbl>
    <w:p w14:paraId="598770B1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 </w:t>
      </w:r>
    </w:p>
    <w:p w14:paraId="3BFB244C" w14:textId="77777777" w:rsidR="00237B36" w:rsidRPr="00237B36" w:rsidRDefault="00237B36" w:rsidP="00237B36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6"/>
          <w:szCs w:val="26"/>
          <w:lang w:val="ru-BY" w:eastAsia="ru-BY"/>
        </w:rPr>
        <w:t>СОГЛАСОВАНО</w:t>
      </w:r>
    </w:p>
    <w:p w14:paraId="2CAC43F6" w14:textId="77777777" w:rsidR="00237B36" w:rsidRPr="00237B36" w:rsidRDefault="00237B36" w:rsidP="00237B36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val="ru-BY" w:eastAsia="ru-BY"/>
        </w:rPr>
      </w:pPr>
      <w:proofErr w:type="spellStart"/>
      <w:r w:rsidRPr="00237B36">
        <w:rPr>
          <w:rFonts w:ascii="Times New Roman" w:eastAsia="Times New Roman" w:hAnsi="Times New Roman" w:cs="Times New Roman"/>
          <w:color w:val="212529"/>
          <w:sz w:val="26"/>
          <w:szCs w:val="26"/>
          <w:lang w:val="ru-BY" w:eastAsia="ru-BY"/>
        </w:rPr>
        <w:t>Ляховичский</w:t>
      </w:r>
      <w:proofErr w:type="spellEnd"/>
      <w:r w:rsidRPr="00237B36">
        <w:rPr>
          <w:rFonts w:ascii="Times New Roman" w:eastAsia="Times New Roman" w:hAnsi="Times New Roman" w:cs="Times New Roman"/>
          <w:color w:val="212529"/>
          <w:sz w:val="26"/>
          <w:szCs w:val="26"/>
          <w:lang w:val="ru-BY" w:eastAsia="ru-BY"/>
        </w:rPr>
        <w:t xml:space="preserve"> районный</w:t>
      </w:r>
      <w:r w:rsidRPr="00237B36">
        <w:rPr>
          <w:rFonts w:ascii="Times New Roman" w:eastAsia="Times New Roman" w:hAnsi="Times New Roman" w:cs="Times New Roman"/>
          <w:color w:val="212529"/>
          <w:sz w:val="26"/>
          <w:szCs w:val="26"/>
          <w:lang w:val="ru-BY" w:eastAsia="ru-BY"/>
        </w:rPr>
        <w:br/>
        <w:t>Совет депутатов</w:t>
      </w:r>
    </w:p>
    <w:p w14:paraId="67B811BA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 </w:t>
      </w:r>
    </w:p>
    <w:p w14:paraId="1B8CF2DA" w14:textId="77777777" w:rsidR="00237B36" w:rsidRPr="00237B36" w:rsidRDefault="00237B36" w:rsidP="00237B36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6"/>
          <w:szCs w:val="26"/>
          <w:lang w:val="ru-BY" w:eastAsia="ru-BY"/>
        </w:rPr>
        <w:t>Учреждение здравоохранения</w:t>
      </w:r>
      <w:r w:rsidRPr="00237B36">
        <w:rPr>
          <w:rFonts w:ascii="Times New Roman" w:eastAsia="Times New Roman" w:hAnsi="Times New Roman" w:cs="Times New Roman"/>
          <w:color w:val="212529"/>
          <w:sz w:val="26"/>
          <w:szCs w:val="26"/>
          <w:lang w:val="ru-BY" w:eastAsia="ru-BY"/>
        </w:rPr>
        <w:br/>
        <w:t>«</w:t>
      </w:r>
      <w:proofErr w:type="spellStart"/>
      <w:r w:rsidRPr="00237B36">
        <w:rPr>
          <w:rFonts w:ascii="Times New Roman" w:eastAsia="Times New Roman" w:hAnsi="Times New Roman" w:cs="Times New Roman"/>
          <w:color w:val="212529"/>
          <w:sz w:val="26"/>
          <w:szCs w:val="26"/>
          <w:lang w:val="ru-BY" w:eastAsia="ru-BY"/>
        </w:rPr>
        <w:t>Ляховичская</w:t>
      </w:r>
      <w:proofErr w:type="spellEnd"/>
      <w:r w:rsidRPr="00237B36">
        <w:rPr>
          <w:rFonts w:ascii="Times New Roman" w:eastAsia="Times New Roman" w:hAnsi="Times New Roman" w:cs="Times New Roman"/>
          <w:color w:val="212529"/>
          <w:sz w:val="26"/>
          <w:szCs w:val="26"/>
          <w:lang w:val="ru-BY" w:eastAsia="ru-BY"/>
        </w:rPr>
        <w:t xml:space="preserve"> центральная</w:t>
      </w:r>
      <w:r w:rsidRPr="00237B36">
        <w:rPr>
          <w:rFonts w:ascii="Times New Roman" w:eastAsia="Times New Roman" w:hAnsi="Times New Roman" w:cs="Times New Roman"/>
          <w:color w:val="212529"/>
          <w:sz w:val="26"/>
          <w:szCs w:val="26"/>
          <w:lang w:val="ru-BY" w:eastAsia="ru-BY"/>
        </w:rPr>
        <w:br/>
        <w:t>районная больница»</w:t>
      </w:r>
    </w:p>
    <w:p w14:paraId="094D465A" w14:textId="77777777" w:rsidR="00237B36" w:rsidRPr="00237B36" w:rsidRDefault="00237B36" w:rsidP="00237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</w:pPr>
      <w:r w:rsidRPr="00237B36">
        <w:rPr>
          <w:rFonts w:ascii="Times New Roman" w:eastAsia="Times New Roman" w:hAnsi="Times New Roman" w:cs="Times New Roman"/>
          <w:color w:val="212529"/>
          <w:sz w:val="24"/>
          <w:szCs w:val="24"/>
          <w:lang w:val="ru-BY" w:eastAsia="ru-BY"/>
        </w:rPr>
        <w:t> </w:t>
      </w:r>
    </w:p>
    <w:p w14:paraId="1D17E3F4" w14:textId="77777777" w:rsidR="00181CFC" w:rsidRPr="00237B36" w:rsidRDefault="00181CFC" w:rsidP="006C7F0D">
      <w:pPr>
        <w:rPr>
          <w:szCs w:val="28"/>
          <w:lang w:val="ru-BY"/>
        </w:rPr>
      </w:pPr>
      <w:bookmarkStart w:id="0" w:name="_GoBack"/>
      <w:bookmarkEnd w:id="0"/>
    </w:p>
    <w:sectPr w:rsidR="00181CFC" w:rsidRPr="00237B36" w:rsidSect="000D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D7"/>
    <w:rsid w:val="000D2B80"/>
    <w:rsid w:val="000D38F3"/>
    <w:rsid w:val="00142B83"/>
    <w:rsid w:val="00181CFC"/>
    <w:rsid w:val="001948CD"/>
    <w:rsid w:val="001A136F"/>
    <w:rsid w:val="00213523"/>
    <w:rsid w:val="00237B36"/>
    <w:rsid w:val="002E7E5B"/>
    <w:rsid w:val="003D702B"/>
    <w:rsid w:val="006419D7"/>
    <w:rsid w:val="00644926"/>
    <w:rsid w:val="006C7F0D"/>
    <w:rsid w:val="00704090"/>
    <w:rsid w:val="008217A0"/>
    <w:rsid w:val="009D4BA2"/>
    <w:rsid w:val="00A3213F"/>
    <w:rsid w:val="00C44997"/>
    <w:rsid w:val="00D6132D"/>
    <w:rsid w:val="00E24D9D"/>
    <w:rsid w:val="00EA6CD9"/>
    <w:rsid w:val="00EC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3D81"/>
  <w15:docId w15:val="{73391D3D-7422-4C95-8D16-1F45ADF6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8F3"/>
  </w:style>
  <w:style w:type="paragraph" w:styleId="2">
    <w:name w:val="heading 2"/>
    <w:basedOn w:val="a"/>
    <w:next w:val="a"/>
    <w:link w:val="20"/>
    <w:uiPriority w:val="9"/>
    <w:unhideWhenUsed/>
    <w:qFormat/>
    <w:rsid w:val="000D2B8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lqj4b">
    <w:name w:val="jlqj4b"/>
    <w:basedOn w:val="a0"/>
    <w:rsid w:val="001A136F"/>
  </w:style>
  <w:style w:type="character" w:customStyle="1" w:styleId="20">
    <w:name w:val="Заголовок 2 Знак"/>
    <w:basedOn w:val="a0"/>
    <w:link w:val="2"/>
    <w:uiPriority w:val="9"/>
    <w:rsid w:val="000D2B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newncpi0">
    <w:name w:val="newncpi0"/>
    <w:basedOn w:val="a"/>
    <w:rsid w:val="0023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237B36"/>
  </w:style>
  <w:style w:type="character" w:customStyle="1" w:styleId="promulgator">
    <w:name w:val="promulgator"/>
    <w:basedOn w:val="a0"/>
    <w:rsid w:val="00237B36"/>
  </w:style>
  <w:style w:type="paragraph" w:customStyle="1" w:styleId="newncpi">
    <w:name w:val="newncpi"/>
    <w:basedOn w:val="a"/>
    <w:rsid w:val="0023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datepr">
    <w:name w:val="datepr"/>
    <w:basedOn w:val="a0"/>
    <w:rsid w:val="00237B36"/>
  </w:style>
  <w:style w:type="character" w:customStyle="1" w:styleId="number">
    <w:name w:val="number"/>
    <w:basedOn w:val="a0"/>
    <w:rsid w:val="00237B36"/>
  </w:style>
  <w:style w:type="paragraph" w:customStyle="1" w:styleId="titlencpi">
    <w:name w:val="titlencpi"/>
    <w:basedOn w:val="a"/>
    <w:rsid w:val="0023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23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4">
    <w:name w:val="Hyperlink"/>
    <w:basedOn w:val="a0"/>
    <w:uiPriority w:val="99"/>
    <w:semiHidden/>
    <w:unhideWhenUsed/>
    <w:rsid w:val="00237B36"/>
    <w:rPr>
      <w:color w:val="0000FF"/>
      <w:u w:val="single"/>
    </w:rPr>
  </w:style>
  <w:style w:type="paragraph" w:customStyle="1" w:styleId="point">
    <w:name w:val="point"/>
    <w:basedOn w:val="a"/>
    <w:rsid w:val="0023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rednoun">
    <w:name w:val="rednoun"/>
    <w:basedOn w:val="a0"/>
    <w:rsid w:val="00237B36"/>
  </w:style>
  <w:style w:type="character" w:customStyle="1" w:styleId="post">
    <w:name w:val="post"/>
    <w:basedOn w:val="a0"/>
    <w:rsid w:val="00237B36"/>
  </w:style>
  <w:style w:type="character" w:customStyle="1" w:styleId="pers">
    <w:name w:val="pers"/>
    <w:basedOn w:val="a0"/>
    <w:rsid w:val="00237B36"/>
  </w:style>
  <w:style w:type="paragraph" w:customStyle="1" w:styleId="agree">
    <w:name w:val="agree"/>
    <w:basedOn w:val="a"/>
    <w:rsid w:val="0023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webnpa/text.asp?RN=R919b0095581" TargetMode="External"/><Relationship Id="rId13" Type="http://schemas.openxmlformats.org/officeDocument/2006/relationships/hyperlink" Target="https://etalonline.by/webnpa/text.asp?RN=R919b0095581" TargetMode="External"/><Relationship Id="rId18" Type="http://schemas.openxmlformats.org/officeDocument/2006/relationships/hyperlink" Target="https://etalonline.by/document/?regnum=r924b0129951&amp;q_id=1044574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etalonline.by/webnpa/text.asp?RN=Pd1500003" TargetMode="External"/><Relationship Id="rId12" Type="http://schemas.openxmlformats.org/officeDocument/2006/relationships/hyperlink" Target="https://etalonline.by/webnpa/text.asp?RN=R919b0095581" TargetMode="External"/><Relationship Id="rId17" Type="http://schemas.openxmlformats.org/officeDocument/2006/relationships/hyperlink" Target="https://etalonline.by/document/?regnum=r924b0129951&amp;q_id=1044574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talonline.by/webnpa/text.asp?RN=R919b009558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talonline.by/webnpa/text.asp?RN=R919b0095581" TargetMode="External"/><Relationship Id="rId11" Type="http://schemas.openxmlformats.org/officeDocument/2006/relationships/hyperlink" Target="https://etalonline.by/webnpa/text.asp?RN=Pd1500003" TargetMode="External"/><Relationship Id="rId5" Type="http://schemas.openxmlformats.org/officeDocument/2006/relationships/hyperlink" Target="https://etalonline.by/webnpa/text.asp?RN=R919b0095581" TargetMode="External"/><Relationship Id="rId15" Type="http://schemas.openxmlformats.org/officeDocument/2006/relationships/hyperlink" Target="https://etalonline.by/webnpa/text.asp?RN=R919b0095581" TargetMode="External"/><Relationship Id="rId10" Type="http://schemas.openxmlformats.org/officeDocument/2006/relationships/hyperlink" Target="https://etalonline.by/webnpa/text.asp?RN=R919b0095581" TargetMode="External"/><Relationship Id="rId19" Type="http://schemas.openxmlformats.org/officeDocument/2006/relationships/hyperlink" Target="https://etalonline.by/document/?regnum=r924b0129951&amp;q_id=10445743" TargetMode="External"/><Relationship Id="rId4" Type="http://schemas.openxmlformats.org/officeDocument/2006/relationships/hyperlink" Target="https://etalonline.by/webnpa/text.asp?RN=Pd1500003" TargetMode="External"/><Relationship Id="rId9" Type="http://schemas.openxmlformats.org/officeDocument/2006/relationships/hyperlink" Target="https://etalonline.by/webnpa/text.asp?RN=R919b0095581" TargetMode="External"/><Relationship Id="rId14" Type="http://schemas.openxmlformats.org/officeDocument/2006/relationships/hyperlink" Target="https://etalonline.by/webnpa/text.asp?RN=R919b00955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Идеолог_1</cp:lastModifiedBy>
  <cp:revision>2</cp:revision>
  <cp:lastPrinted>2023-05-15T07:14:00Z</cp:lastPrinted>
  <dcterms:created xsi:type="dcterms:W3CDTF">2024-03-28T07:35:00Z</dcterms:created>
  <dcterms:modified xsi:type="dcterms:W3CDTF">2024-03-28T07:35:00Z</dcterms:modified>
</cp:coreProperties>
</file>