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D3" w:rsidRDefault="00C30B74" w:rsidP="00C30B74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Отложенный выход на пенсию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proofErr w:type="gramStart"/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proofErr w:type="gramEnd"/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1" w:name="Par0"/>
                            <w:bookmarkEnd w:id="1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увеличивается </w:t>
                            </w:r>
                            <w:proofErr w:type="gramStart"/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на</w:t>
                            </w:r>
                            <w:proofErr w:type="gramEnd"/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2" w:name="Par2"/>
                            <w:bookmarkEnd w:id="2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proofErr w:type="gramStart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</w:t>
                            </w:r>
                            <w:proofErr w:type="gramEnd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>обратитесь за возобновлением выплаты пенс</w:t>
      </w:r>
      <w:proofErr w:type="gramStart"/>
      <w:r w:rsidR="00036447">
        <w:rPr>
          <w:sz w:val="30"/>
          <w:szCs w:val="30"/>
        </w:rPr>
        <w:t>ии и её</w:t>
      </w:r>
      <w:proofErr w:type="gramEnd"/>
      <w:r w:rsidR="00036447">
        <w:rPr>
          <w:sz w:val="30"/>
          <w:szCs w:val="30"/>
        </w:rPr>
        <w:t xml:space="preserve">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9B0165" w:rsidRDefault="009B0165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lastRenderedPageBreak/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каждый </w:t>
                                  </w:r>
                                  <w:proofErr w:type="gramStart"/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</w:t>
                                  </w:r>
                                  <w:proofErr w:type="gramEnd"/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 xml:space="preserve">ыплата пенсии </w:t>
      </w:r>
      <w:proofErr w:type="gramStart"/>
      <w:r w:rsidR="00A4546E">
        <w:rPr>
          <w:sz w:val="30"/>
          <w:szCs w:val="30"/>
        </w:rPr>
        <w:t>будет приостановлена</w:t>
      </w:r>
      <w:r w:rsidR="000D050C">
        <w:rPr>
          <w:sz w:val="30"/>
          <w:szCs w:val="30"/>
        </w:rPr>
        <w:t xml:space="preserve"> начиная</w:t>
      </w:r>
      <w:proofErr w:type="gramEnd"/>
      <w:r w:rsidR="000D050C">
        <w:rPr>
          <w:sz w:val="30"/>
          <w:szCs w:val="30"/>
        </w:rPr>
        <w:t xml:space="preserve">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</w:t>
      </w:r>
      <w:proofErr w:type="gramStart"/>
      <w:r w:rsidR="00196158">
        <w:rPr>
          <w:sz w:val="30"/>
          <w:szCs w:val="30"/>
        </w:rPr>
        <w:t>пенсии</w:t>
      </w:r>
      <w:proofErr w:type="gramEnd"/>
      <w:r w:rsidR="00196158">
        <w:rPr>
          <w:sz w:val="30"/>
          <w:szCs w:val="30"/>
        </w:rPr>
        <w:t xml:space="preserve">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51EB13" wp14:editId="7DB403F3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9C94F" wp14:editId="463CA62E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bookmarkStart w:id="3" w:name="_GoBack"/>
                      <w:bookmarkEnd w:id="3"/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FB52" wp14:editId="23192CA4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1"/>
      <w:headerReference w:type="first" r:id="rId12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A2" w:rsidRDefault="00343AA2" w:rsidP="00A00F44">
      <w:r>
        <w:separator/>
      </w:r>
    </w:p>
  </w:endnote>
  <w:endnote w:type="continuationSeparator" w:id="0">
    <w:p w:rsidR="00343AA2" w:rsidRDefault="00343AA2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A2" w:rsidRDefault="00343AA2" w:rsidP="00A00F44">
      <w:r>
        <w:separator/>
      </w:r>
    </w:p>
  </w:footnote>
  <w:footnote w:type="continuationSeparator" w:id="0">
    <w:p w:rsidR="00343AA2" w:rsidRDefault="00343AA2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74">
          <w:rPr>
            <w:noProof/>
          </w:rPr>
          <w:t>5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43AA2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B0165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A2043"/>
    <w:rsid w:val="00BB2A39"/>
    <w:rsid w:val="00BC77DF"/>
    <w:rsid w:val="00BD29FD"/>
    <w:rsid w:val="00BD4CE2"/>
    <w:rsid w:val="00BF0CAE"/>
    <w:rsid w:val="00C067BC"/>
    <w:rsid w:val="00C23AE6"/>
    <w:rsid w:val="00C27742"/>
    <w:rsid w:val="00C30B74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ECD3-861E-4B6D-8ABE-74621C7C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smorshek</cp:lastModifiedBy>
  <cp:revision>18</cp:revision>
  <cp:lastPrinted>2021-05-19T12:01:00Z</cp:lastPrinted>
  <dcterms:created xsi:type="dcterms:W3CDTF">2021-04-19T06:23:00Z</dcterms:created>
  <dcterms:modified xsi:type="dcterms:W3CDTF">2021-05-20T11:46:00Z</dcterms:modified>
</cp:coreProperties>
</file>